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37B84" w14:textId="55F22828" w:rsidR="00CE58CB" w:rsidRPr="00CE58CB" w:rsidRDefault="00CE58CB" w:rsidP="00CE58CB">
      <w:pPr>
        <w:shd w:val="clear" w:color="auto" w:fill="FFFFFF"/>
        <w:spacing w:after="360" w:line="360" w:lineRule="atLeast"/>
        <w:rPr>
          <w:rFonts w:eastAsia="Times New Roman" w:cs="Arial"/>
          <w:b/>
          <w:bCs/>
          <w:color w:val="0070C0"/>
          <w:sz w:val="28"/>
          <w:szCs w:val="28"/>
          <w:lang w:eastAsia="en-GB"/>
        </w:rPr>
      </w:pPr>
      <w:r w:rsidRPr="00CE58CB">
        <w:rPr>
          <w:rFonts w:eastAsia="Times New Roman" w:cs="Arial"/>
          <w:b/>
          <w:bCs/>
          <w:color w:val="0070C0"/>
          <w:sz w:val="28"/>
          <w:szCs w:val="28"/>
          <w:lang w:eastAsia="en-GB"/>
        </w:rPr>
        <w:t>Loans are available under the Coronavirus Business Interruption Scheme (CBILS)</w:t>
      </w:r>
    </w:p>
    <w:p w14:paraId="10F6ACF4" w14:textId="004A30EC" w:rsidR="00CE58CB" w:rsidRPr="00CE58CB" w:rsidRDefault="00CE58CB" w:rsidP="00CE58CB">
      <w:pPr>
        <w:shd w:val="clear" w:color="auto" w:fill="FFFFFF"/>
        <w:spacing w:after="360" w:line="360" w:lineRule="atLeast"/>
        <w:rPr>
          <w:rFonts w:eastAsia="Times New Roman" w:cs="Arial"/>
          <w:color w:val="595959"/>
          <w:sz w:val="24"/>
          <w:szCs w:val="24"/>
          <w:lang w:eastAsia="en-GB"/>
        </w:rPr>
      </w:pPr>
      <w:r w:rsidRPr="00CE58CB">
        <w:rPr>
          <w:rFonts w:eastAsia="Times New Roman" w:cs="Arial"/>
          <w:color w:val="595959"/>
          <w:sz w:val="24"/>
          <w:szCs w:val="24"/>
          <w:lang w:eastAsia="en-GB"/>
        </w:rPr>
        <w:t>Financial assistance is available through the Coronavirus Business Interruption Loan Scheme (CBILS). </w:t>
      </w:r>
    </w:p>
    <w:p w14:paraId="6255B3FA" w14:textId="066B27B5" w:rsidR="00CE58CB" w:rsidRPr="00CE58CB" w:rsidRDefault="00CE58CB" w:rsidP="00CE58CB">
      <w:pPr>
        <w:shd w:val="clear" w:color="auto" w:fill="FFFFFF"/>
        <w:spacing w:before="180" w:after="360" w:line="360" w:lineRule="atLeast"/>
        <w:rPr>
          <w:rFonts w:eastAsia="Times New Roman" w:cs="Arial"/>
          <w:color w:val="595959"/>
          <w:sz w:val="24"/>
          <w:szCs w:val="24"/>
          <w:lang w:eastAsia="en-GB"/>
        </w:rPr>
      </w:pPr>
      <w:r w:rsidRPr="00CE58CB">
        <w:rPr>
          <w:rFonts w:eastAsia="Times New Roman" w:cs="Arial"/>
          <w:color w:val="595959"/>
          <w:sz w:val="24"/>
          <w:szCs w:val="24"/>
          <w:lang w:eastAsia="en-GB"/>
        </w:rPr>
        <w:t>Applications for the expanded scheme open</w:t>
      </w:r>
      <w:r>
        <w:rPr>
          <w:rFonts w:eastAsia="Times New Roman" w:cs="Arial"/>
          <w:color w:val="595959"/>
          <w:sz w:val="24"/>
          <w:szCs w:val="24"/>
          <w:lang w:eastAsia="en-GB"/>
        </w:rPr>
        <w:t>ed</w:t>
      </w:r>
      <w:r w:rsidRPr="00CE58CB">
        <w:rPr>
          <w:rFonts w:eastAsia="Times New Roman" w:cs="Arial"/>
          <w:color w:val="595959"/>
          <w:sz w:val="24"/>
          <w:szCs w:val="24"/>
          <w:lang w:eastAsia="en-GB"/>
        </w:rPr>
        <w:t xml:space="preserve"> </w:t>
      </w:r>
      <w:r>
        <w:rPr>
          <w:rFonts w:eastAsia="Times New Roman" w:cs="Arial"/>
          <w:color w:val="595959"/>
          <w:sz w:val="24"/>
          <w:szCs w:val="24"/>
          <w:lang w:eastAsia="en-GB"/>
        </w:rPr>
        <w:t>on</w:t>
      </w:r>
      <w:r w:rsidRPr="00CE58CB">
        <w:rPr>
          <w:rFonts w:eastAsia="Times New Roman" w:cs="Arial"/>
          <w:color w:val="595959"/>
          <w:sz w:val="24"/>
          <w:szCs w:val="24"/>
          <w:lang w:eastAsia="en-GB"/>
        </w:rPr>
        <w:t xml:space="preserve"> 6 April 2020.</w:t>
      </w:r>
    </w:p>
    <w:p w14:paraId="0CE66586" w14:textId="77777777" w:rsidR="00CE58CB" w:rsidRPr="00CE58CB" w:rsidRDefault="00CE58CB" w:rsidP="00CE58CB">
      <w:pPr>
        <w:shd w:val="clear" w:color="auto" w:fill="FFFFFF"/>
        <w:spacing w:before="180" w:after="360" w:line="360" w:lineRule="atLeast"/>
        <w:rPr>
          <w:rFonts w:eastAsia="Times New Roman" w:cs="Arial"/>
          <w:color w:val="595959"/>
          <w:sz w:val="24"/>
          <w:szCs w:val="24"/>
          <w:lang w:eastAsia="en-GB"/>
        </w:rPr>
      </w:pPr>
      <w:r w:rsidRPr="00CE58CB">
        <w:rPr>
          <w:rFonts w:eastAsia="Times New Roman" w:cs="Arial"/>
          <w:color w:val="595959"/>
          <w:sz w:val="24"/>
          <w:szCs w:val="24"/>
          <w:lang w:eastAsia="en-GB"/>
        </w:rPr>
        <w:t>The scheme will initially run for six months. All SMEs in all industries (except for the exclusions below) can apply. While resources have been trebled to process the increased demand expected for these loans, phone lines are likely to be busy and bank branches may not be able to handle enquiries in person, so online applications are recommended.</w:t>
      </w:r>
    </w:p>
    <w:p w14:paraId="7DD18823" w14:textId="1C284891" w:rsidR="00CE58CB" w:rsidRPr="00CE58CB" w:rsidRDefault="00CE58CB" w:rsidP="00CE58CB">
      <w:pPr>
        <w:shd w:val="clear" w:color="auto" w:fill="FFFFFF"/>
        <w:spacing w:before="180" w:after="360" w:line="360" w:lineRule="atLeast"/>
        <w:rPr>
          <w:rFonts w:eastAsia="Times New Roman" w:cs="Arial"/>
          <w:color w:val="595959"/>
          <w:sz w:val="24"/>
          <w:szCs w:val="24"/>
          <w:lang w:eastAsia="en-GB"/>
        </w:rPr>
      </w:pPr>
      <w:r w:rsidRPr="00CE58CB">
        <w:rPr>
          <w:rFonts w:eastAsia="Times New Roman" w:cs="Arial"/>
          <w:color w:val="595959"/>
          <w:sz w:val="24"/>
          <w:szCs w:val="24"/>
          <w:lang w:eastAsia="en-GB"/>
        </w:rPr>
        <w:t>Applications should be made directly to</w:t>
      </w:r>
      <w:r w:rsidRPr="00CE58CB">
        <w:rPr>
          <w:rFonts w:eastAsia="Times New Roman" w:cs="Arial"/>
          <w:color w:val="595959"/>
          <w:sz w:val="24"/>
          <w:szCs w:val="24"/>
          <w:lang w:eastAsia="en-GB"/>
        </w:rPr>
        <w:t xml:space="preserve"> lenders accredited by the British Business Bank. </w:t>
      </w:r>
      <w:r w:rsidRPr="00CE58CB">
        <w:rPr>
          <w:rFonts w:eastAsia="Times New Roman" w:cs="Arial"/>
          <w:color w:val="595959"/>
          <w:sz w:val="24"/>
          <w:szCs w:val="24"/>
          <w:lang w:eastAsia="en-GB"/>
        </w:rPr>
        <w:t>The lender has the authority to decide whether to offer finance under this scheme unless it can do so on normal commercial terms. Other lenders can be approached if one lender has turned the lending down.</w:t>
      </w:r>
    </w:p>
    <w:p w14:paraId="6A60AB56" w14:textId="77777777" w:rsidR="00CE58CB" w:rsidRPr="00CE58CB" w:rsidRDefault="00CE58CB" w:rsidP="00CE58CB">
      <w:pPr>
        <w:shd w:val="clear" w:color="auto" w:fill="FFFFFF"/>
        <w:spacing w:before="180" w:after="360" w:line="360" w:lineRule="atLeast"/>
        <w:rPr>
          <w:rFonts w:eastAsia="Times New Roman" w:cs="Arial"/>
          <w:color w:val="595959"/>
          <w:sz w:val="24"/>
          <w:szCs w:val="24"/>
          <w:lang w:eastAsia="en-GB"/>
        </w:rPr>
      </w:pPr>
      <w:r w:rsidRPr="00CE58CB">
        <w:rPr>
          <w:rFonts w:eastAsia="Times New Roman" w:cs="Arial"/>
          <w:color w:val="595959"/>
          <w:sz w:val="24"/>
          <w:szCs w:val="24"/>
          <w:lang w:eastAsia="en-GB"/>
        </w:rPr>
        <w:t>SMEs will qualify if the business:</w:t>
      </w:r>
    </w:p>
    <w:p w14:paraId="1999EF91" w14:textId="77777777" w:rsidR="00CE58CB" w:rsidRPr="00CE58CB" w:rsidRDefault="00CE58CB" w:rsidP="00CE58CB">
      <w:pPr>
        <w:numPr>
          <w:ilvl w:val="0"/>
          <w:numId w:val="1"/>
        </w:numPr>
        <w:shd w:val="clear" w:color="auto" w:fill="FFFFFF"/>
        <w:spacing w:after="0" w:line="360" w:lineRule="atLeast"/>
        <w:rPr>
          <w:rFonts w:eastAsia="Times New Roman" w:cs="Arial"/>
          <w:color w:val="595959"/>
          <w:sz w:val="24"/>
          <w:szCs w:val="24"/>
          <w:lang w:eastAsia="en-GB"/>
        </w:rPr>
      </w:pPr>
      <w:r w:rsidRPr="00CE58CB">
        <w:rPr>
          <w:rFonts w:eastAsia="Times New Roman" w:cs="Arial"/>
          <w:color w:val="595959"/>
          <w:sz w:val="24"/>
          <w:szCs w:val="24"/>
          <w:lang w:eastAsia="en-GB"/>
        </w:rPr>
        <w:t>is UK-based</w:t>
      </w:r>
    </w:p>
    <w:p w14:paraId="418841AD" w14:textId="77777777" w:rsidR="00CE58CB" w:rsidRPr="00CE58CB" w:rsidRDefault="00CE58CB" w:rsidP="00CE58CB">
      <w:pPr>
        <w:numPr>
          <w:ilvl w:val="0"/>
          <w:numId w:val="1"/>
        </w:numPr>
        <w:shd w:val="clear" w:color="auto" w:fill="FFFFFF"/>
        <w:spacing w:after="0" w:line="360" w:lineRule="atLeast"/>
        <w:rPr>
          <w:rFonts w:eastAsia="Times New Roman" w:cs="Arial"/>
          <w:color w:val="595959"/>
          <w:sz w:val="24"/>
          <w:szCs w:val="24"/>
          <w:lang w:eastAsia="en-GB"/>
        </w:rPr>
      </w:pPr>
      <w:r w:rsidRPr="00CE58CB">
        <w:rPr>
          <w:rFonts w:eastAsia="Times New Roman" w:cs="Arial"/>
          <w:color w:val="595959"/>
          <w:sz w:val="24"/>
          <w:szCs w:val="24"/>
          <w:lang w:eastAsia="en-GB"/>
        </w:rPr>
        <w:t>has an annual turnover under £</w:t>
      </w:r>
      <w:proofErr w:type="gramStart"/>
      <w:r w:rsidRPr="00CE58CB">
        <w:rPr>
          <w:rFonts w:eastAsia="Times New Roman" w:cs="Arial"/>
          <w:color w:val="595959"/>
          <w:sz w:val="24"/>
          <w:szCs w:val="24"/>
          <w:lang w:eastAsia="en-GB"/>
        </w:rPr>
        <w:t>45m</w:t>
      </w:r>
      <w:proofErr w:type="gramEnd"/>
      <w:r w:rsidRPr="00CE58CB">
        <w:rPr>
          <w:rFonts w:eastAsia="Times New Roman" w:cs="Arial"/>
          <w:color w:val="595959"/>
          <w:sz w:val="24"/>
          <w:szCs w:val="24"/>
          <w:lang w:eastAsia="en-GB"/>
        </w:rPr>
        <w:t> </w:t>
      </w:r>
    </w:p>
    <w:p w14:paraId="234C65F0" w14:textId="77777777" w:rsidR="00CE58CB" w:rsidRPr="00CE58CB" w:rsidRDefault="00CE58CB" w:rsidP="00CE58CB">
      <w:pPr>
        <w:numPr>
          <w:ilvl w:val="0"/>
          <w:numId w:val="1"/>
        </w:numPr>
        <w:shd w:val="clear" w:color="auto" w:fill="FFFFFF"/>
        <w:spacing w:after="0" w:line="360" w:lineRule="atLeast"/>
        <w:rPr>
          <w:rFonts w:eastAsia="Times New Roman" w:cs="Arial"/>
          <w:color w:val="595959"/>
          <w:sz w:val="24"/>
          <w:szCs w:val="24"/>
          <w:lang w:eastAsia="en-GB"/>
        </w:rPr>
      </w:pPr>
      <w:r w:rsidRPr="00CE58CB">
        <w:rPr>
          <w:rFonts w:eastAsia="Times New Roman" w:cs="Arial"/>
          <w:color w:val="595959"/>
          <w:sz w:val="24"/>
          <w:szCs w:val="24"/>
          <w:lang w:eastAsia="en-GB"/>
        </w:rPr>
        <w:t>has a borrowing proposal that the lender would consider viable prior to the Covid-19 pandemic </w:t>
      </w:r>
    </w:p>
    <w:p w14:paraId="44EF64BB" w14:textId="77777777" w:rsidR="00CE58CB" w:rsidRPr="00CE58CB" w:rsidRDefault="00CE58CB" w:rsidP="00CE58CB">
      <w:pPr>
        <w:numPr>
          <w:ilvl w:val="0"/>
          <w:numId w:val="1"/>
        </w:numPr>
        <w:shd w:val="clear" w:color="auto" w:fill="FFFFFF"/>
        <w:spacing w:after="0" w:line="360" w:lineRule="atLeast"/>
        <w:rPr>
          <w:rFonts w:eastAsia="Times New Roman" w:cs="Arial"/>
          <w:color w:val="595959"/>
          <w:sz w:val="24"/>
          <w:szCs w:val="24"/>
          <w:lang w:eastAsia="en-GB"/>
        </w:rPr>
      </w:pPr>
      <w:r w:rsidRPr="00CE58CB">
        <w:rPr>
          <w:rFonts w:eastAsia="Times New Roman" w:cs="Arial"/>
          <w:color w:val="595959"/>
          <w:sz w:val="24"/>
          <w:szCs w:val="24"/>
          <w:lang w:eastAsia="en-GB"/>
        </w:rPr>
        <w:t>can show that it can trade out of any short-to medium-term difficulty using this facility.</w:t>
      </w:r>
    </w:p>
    <w:p w14:paraId="2EF82AC8" w14:textId="77777777" w:rsidR="00CE58CB" w:rsidRPr="00CE58CB" w:rsidRDefault="00CE58CB" w:rsidP="00CE58CB">
      <w:pPr>
        <w:shd w:val="clear" w:color="auto" w:fill="FFFFFF"/>
        <w:spacing w:before="180" w:after="360" w:line="360" w:lineRule="atLeast"/>
        <w:rPr>
          <w:rFonts w:eastAsia="Times New Roman" w:cs="Arial"/>
          <w:color w:val="595959"/>
          <w:sz w:val="24"/>
          <w:szCs w:val="24"/>
          <w:lang w:eastAsia="en-GB"/>
        </w:rPr>
      </w:pPr>
      <w:r w:rsidRPr="00CE58CB">
        <w:rPr>
          <w:rFonts w:eastAsia="Times New Roman" w:cs="Arial"/>
          <w:color w:val="595959"/>
          <w:sz w:val="24"/>
          <w:szCs w:val="24"/>
          <w:lang w:eastAsia="en-GB"/>
        </w:rPr>
        <w:t>Applications can be made directly to the bank and there are no arrangement fees. The government will pay for any lender-levied fees and cover interest payments for the first 12 months, lowering the initial repayments for smaller businesses. In addition, some lenders are likely to offer capital deferment schemes of up to six months.</w:t>
      </w:r>
    </w:p>
    <w:p w14:paraId="018E1420" w14:textId="77777777" w:rsidR="00CE58CB" w:rsidRPr="00CE58CB" w:rsidRDefault="00CE58CB" w:rsidP="00CE58CB">
      <w:pPr>
        <w:shd w:val="clear" w:color="auto" w:fill="FFFFFF"/>
        <w:spacing w:before="180" w:after="360" w:line="360" w:lineRule="atLeast"/>
        <w:rPr>
          <w:rFonts w:eastAsia="Times New Roman" w:cs="Arial"/>
          <w:color w:val="595959"/>
          <w:sz w:val="24"/>
          <w:szCs w:val="24"/>
          <w:lang w:eastAsia="en-GB"/>
        </w:rPr>
      </w:pPr>
      <w:r w:rsidRPr="00CE58CB">
        <w:rPr>
          <w:rFonts w:eastAsia="Times New Roman" w:cs="Arial"/>
          <w:color w:val="595959"/>
          <w:sz w:val="24"/>
          <w:szCs w:val="24"/>
          <w:lang w:eastAsia="en-GB"/>
        </w:rPr>
        <w:t>Term loans from £10,000 to £5m will be available for a maximum repayment period of six years. Overdraft and invoice financing to ease working capital requirements will be available for up to three years. </w:t>
      </w:r>
    </w:p>
    <w:p w14:paraId="42A6BE75" w14:textId="77777777" w:rsidR="00CE58CB" w:rsidRPr="00CE58CB" w:rsidRDefault="00CE58CB" w:rsidP="00CE58CB">
      <w:pPr>
        <w:shd w:val="clear" w:color="auto" w:fill="FFFFFF"/>
        <w:spacing w:before="180" w:after="360" w:line="360" w:lineRule="atLeast"/>
        <w:rPr>
          <w:rFonts w:eastAsia="Times New Roman" w:cs="Arial"/>
          <w:color w:val="595959"/>
          <w:sz w:val="24"/>
          <w:szCs w:val="24"/>
          <w:lang w:eastAsia="en-GB"/>
        </w:rPr>
      </w:pPr>
      <w:r w:rsidRPr="00CE58CB">
        <w:rPr>
          <w:rFonts w:eastAsia="Times New Roman" w:cs="Arial"/>
          <w:color w:val="595959"/>
          <w:sz w:val="24"/>
          <w:szCs w:val="24"/>
          <w:lang w:eastAsia="en-GB"/>
        </w:rPr>
        <w:t xml:space="preserve">Under the expanded scheme, borrowings of up to £250,000 can now be accessed without any security. For borrowings above £250,000, personal guarantees and security may be required, at the lender’s discretion. Principal private residences cannot be taken as </w:t>
      </w:r>
      <w:r w:rsidRPr="00CE58CB">
        <w:rPr>
          <w:rFonts w:eastAsia="Times New Roman" w:cs="Arial"/>
          <w:color w:val="595959"/>
          <w:sz w:val="24"/>
          <w:szCs w:val="24"/>
          <w:lang w:eastAsia="en-GB"/>
        </w:rPr>
        <w:lastRenderedPageBreak/>
        <w:t>security or used to support personal guarantees. As the government is backing these loans with an 80% guarantee to the lenders, the recoveries on defaulted loans will be limited to 20% of the outstanding balance on the facility, after the proceeds of any business assets offered as security have been applied.</w:t>
      </w:r>
    </w:p>
    <w:p w14:paraId="11E55624" w14:textId="77777777" w:rsidR="00CE58CB" w:rsidRPr="00CE58CB" w:rsidRDefault="00CE58CB" w:rsidP="00CE58CB">
      <w:pPr>
        <w:shd w:val="clear" w:color="auto" w:fill="FFFFFF"/>
        <w:spacing w:before="180" w:after="360" w:line="360" w:lineRule="atLeast"/>
        <w:rPr>
          <w:rFonts w:eastAsia="Times New Roman" w:cs="Arial"/>
          <w:color w:val="595959"/>
          <w:sz w:val="24"/>
          <w:szCs w:val="24"/>
          <w:lang w:eastAsia="en-GB"/>
        </w:rPr>
      </w:pPr>
      <w:r w:rsidRPr="00CE58CB">
        <w:rPr>
          <w:rFonts w:eastAsia="Times New Roman" w:cs="Arial"/>
          <w:color w:val="595959"/>
          <w:sz w:val="24"/>
          <w:szCs w:val="24"/>
          <w:lang w:eastAsia="en-GB"/>
        </w:rPr>
        <w:t>Small businesses that may have previously been denied loans under this scheme because lenders decided that normal commercial loans were more suitable for them can now apply for CBILS finance.</w:t>
      </w:r>
    </w:p>
    <w:p w14:paraId="26265488" w14:textId="77777777" w:rsidR="00CE58CB" w:rsidRPr="00CE58CB" w:rsidRDefault="00CE58CB" w:rsidP="00CE58CB">
      <w:pPr>
        <w:shd w:val="clear" w:color="auto" w:fill="FFFFFF"/>
        <w:spacing w:before="180" w:after="360" w:line="360" w:lineRule="atLeast"/>
        <w:rPr>
          <w:rFonts w:eastAsia="Times New Roman" w:cs="Arial"/>
          <w:color w:val="595959"/>
          <w:sz w:val="24"/>
          <w:szCs w:val="24"/>
          <w:lang w:eastAsia="en-GB"/>
        </w:rPr>
      </w:pPr>
      <w:r w:rsidRPr="00CE58CB">
        <w:rPr>
          <w:rFonts w:eastAsia="Times New Roman" w:cs="Arial"/>
          <w:color w:val="595959"/>
          <w:sz w:val="24"/>
          <w:szCs w:val="24"/>
          <w:lang w:eastAsia="en-GB"/>
        </w:rPr>
        <w:t>Lenders will require the following information:</w:t>
      </w:r>
    </w:p>
    <w:p w14:paraId="2785BAC0" w14:textId="77777777" w:rsidR="00CE58CB" w:rsidRPr="00CE58CB" w:rsidRDefault="00CE58CB" w:rsidP="00CE58CB">
      <w:pPr>
        <w:numPr>
          <w:ilvl w:val="0"/>
          <w:numId w:val="2"/>
        </w:numPr>
        <w:shd w:val="clear" w:color="auto" w:fill="FFFFFF"/>
        <w:spacing w:after="0" w:line="360" w:lineRule="atLeast"/>
        <w:rPr>
          <w:rFonts w:eastAsia="Times New Roman" w:cs="Arial"/>
          <w:color w:val="595959"/>
          <w:sz w:val="24"/>
          <w:szCs w:val="24"/>
          <w:lang w:eastAsia="en-GB"/>
        </w:rPr>
      </w:pPr>
      <w:r w:rsidRPr="00CE58CB">
        <w:rPr>
          <w:rFonts w:eastAsia="Times New Roman" w:cs="Arial"/>
          <w:color w:val="595959"/>
          <w:sz w:val="24"/>
          <w:szCs w:val="24"/>
          <w:lang w:eastAsia="en-GB"/>
        </w:rPr>
        <w:t>the amount to be borrowed</w:t>
      </w:r>
    </w:p>
    <w:p w14:paraId="505A2D51" w14:textId="77777777" w:rsidR="00CE58CB" w:rsidRPr="00CE58CB" w:rsidRDefault="00CE58CB" w:rsidP="00CE58CB">
      <w:pPr>
        <w:numPr>
          <w:ilvl w:val="0"/>
          <w:numId w:val="2"/>
        </w:numPr>
        <w:shd w:val="clear" w:color="auto" w:fill="FFFFFF"/>
        <w:spacing w:after="0" w:line="360" w:lineRule="atLeast"/>
        <w:rPr>
          <w:rFonts w:eastAsia="Times New Roman" w:cs="Arial"/>
          <w:color w:val="595959"/>
          <w:sz w:val="24"/>
          <w:szCs w:val="24"/>
          <w:lang w:eastAsia="en-GB"/>
        </w:rPr>
      </w:pPr>
      <w:r w:rsidRPr="00CE58CB">
        <w:rPr>
          <w:rFonts w:eastAsia="Times New Roman" w:cs="Arial"/>
          <w:color w:val="595959"/>
          <w:sz w:val="24"/>
          <w:szCs w:val="24"/>
          <w:lang w:eastAsia="en-GB"/>
        </w:rPr>
        <w:t>the purpose of the loan, so that the lender can assess which type of finance is right</w:t>
      </w:r>
    </w:p>
    <w:p w14:paraId="2E8966E6" w14:textId="77777777" w:rsidR="00CE58CB" w:rsidRPr="00CE58CB" w:rsidRDefault="00CE58CB" w:rsidP="00CE58CB">
      <w:pPr>
        <w:numPr>
          <w:ilvl w:val="0"/>
          <w:numId w:val="2"/>
        </w:numPr>
        <w:shd w:val="clear" w:color="auto" w:fill="FFFFFF"/>
        <w:spacing w:after="0" w:line="360" w:lineRule="atLeast"/>
        <w:rPr>
          <w:rFonts w:eastAsia="Times New Roman" w:cs="Arial"/>
          <w:color w:val="595959"/>
          <w:sz w:val="24"/>
          <w:szCs w:val="24"/>
          <w:lang w:eastAsia="en-GB"/>
        </w:rPr>
      </w:pPr>
      <w:r w:rsidRPr="00CE58CB">
        <w:rPr>
          <w:rFonts w:eastAsia="Times New Roman" w:cs="Arial"/>
          <w:color w:val="595959"/>
          <w:sz w:val="24"/>
          <w:szCs w:val="24"/>
          <w:lang w:eastAsia="en-GB"/>
        </w:rPr>
        <w:t>Repayment term so that the bank can verify affordability. </w:t>
      </w:r>
    </w:p>
    <w:p w14:paraId="683D63AA" w14:textId="77777777" w:rsidR="00CE58CB" w:rsidRPr="00CE58CB" w:rsidRDefault="00CE58CB" w:rsidP="00CE58CB">
      <w:pPr>
        <w:shd w:val="clear" w:color="auto" w:fill="FFFFFF"/>
        <w:spacing w:before="180" w:after="360" w:line="360" w:lineRule="atLeast"/>
        <w:rPr>
          <w:rFonts w:eastAsia="Times New Roman" w:cs="Arial"/>
          <w:color w:val="595959"/>
          <w:sz w:val="24"/>
          <w:szCs w:val="24"/>
          <w:lang w:eastAsia="en-GB"/>
        </w:rPr>
      </w:pPr>
      <w:r w:rsidRPr="00CE58CB">
        <w:rPr>
          <w:rFonts w:eastAsia="Times New Roman" w:cs="Arial"/>
          <w:color w:val="595959"/>
          <w:sz w:val="24"/>
          <w:szCs w:val="24"/>
          <w:lang w:eastAsia="en-GB"/>
        </w:rPr>
        <w:t>The following documentation is likely to be requested as supporting evidence (although this may vary):</w:t>
      </w:r>
    </w:p>
    <w:p w14:paraId="16254FFF" w14:textId="77777777" w:rsidR="00CE58CB" w:rsidRPr="00CE58CB" w:rsidRDefault="00CE58CB" w:rsidP="00CE58CB">
      <w:pPr>
        <w:numPr>
          <w:ilvl w:val="0"/>
          <w:numId w:val="3"/>
        </w:numPr>
        <w:shd w:val="clear" w:color="auto" w:fill="FFFFFF"/>
        <w:spacing w:after="0" w:line="360" w:lineRule="atLeast"/>
        <w:rPr>
          <w:rFonts w:eastAsia="Times New Roman" w:cs="Arial"/>
          <w:color w:val="595959"/>
          <w:sz w:val="24"/>
          <w:szCs w:val="24"/>
          <w:lang w:eastAsia="en-GB"/>
        </w:rPr>
      </w:pPr>
      <w:r w:rsidRPr="00CE58CB">
        <w:rPr>
          <w:rFonts w:eastAsia="Times New Roman" w:cs="Arial"/>
          <w:color w:val="595959"/>
          <w:sz w:val="24"/>
          <w:szCs w:val="24"/>
          <w:lang w:eastAsia="en-GB"/>
        </w:rPr>
        <w:t>management accounts</w:t>
      </w:r>
    </w:p>
    <w:p w14:paraId="307A97F2" w14:textId="77777777" w:rsidR="00CE58CB" w:rsidRPr="00CE58CB" w:rsidRDefault="00CE58CB" w:rsidP="00CE58CB">
      <w:pPr>
        <w:numPr>
          <w:ilvl w:val="0"/>
          <w:numId w:val="3"/>
        </w:numPr>
        <w:shd w:val="clear" w:color="auto" w:fill="FFFFFF"/>
        <w:spacing w:after="0" w:line="360" w:lineRule="atLeast"/>
        <w:rPr>
          <w:rFonts w:eastAsia="Times New Roman" w:cs="Arial"/>
          <w:color w:val="595959"/>
          <w:sz w:val="24"/>
          <w:szCs w:val="24"/>
          <w:lang w:eastAsia="en-GB"/>
        </w:rPr>
      </w:pPr>
      <w:r w:rsidRPr="00CE58CB">
        <w:rPr>
          <w:rFonts w:eastAsia="Times New Roman" w:cs="Arial"/>
          <w:color w:val="595959"/>
          <w:sz w:val="24"/>
          <w:szCs w:val="24"/>
          <w:lang w:eastAsia="en-GB"/>
        </w:rPr>
        <w:t>cashflow forecast</w:t>
      </w:r>
    </w:p>
    <w:p w14:paraId="6A23DC21" w14:textId="77777777" w:rsidR="00CE58CB" w:rsidRPr="00CE58CB" w:rsidRDefault="00CE58CB" w:rsidP="00CE58CB">
      <w:pPr>
        <w:numPr>
          <w:ilvl w:val="0"/>
          <w:numId w:val="3"/>
        </w:numPr>
        <w:shd w:val="clear" w:color="auto" w:fill="FFFFFF"/>
        <w:spacing w:after="0" w:line="360" w:lineRule="atLeast"/>
        <w:rPr>
          <w:rFonts w:eastAsia="Times New Roman" w:cs="Arial"/>
          <w:color w:val="595959"/>
          <w:sz w:val="24"/>
          <w:szCs w:val="24"/>
          <w:lang w:eastAsia="en-GB"/>
        </w:rPr>
      </w:pPr>
      <w:r w:rsidRPr="00CE58CB">
        <w:rPr>
          <w:rFonts w:eastAsia="Times New Roman" w:cs="Arial"/>
          <w:color w:val="595959"/>
          <w:sz w:val="24"/>
          <w:szCs w:val="24"/>
          <w:lang w:eastAsia="en-GB"/>
        </w:rPr>
        <w:t>business plan</w:t>
      </w:r>
    </w:p>
    <w:p w14:paraId="7CC0C72F" w14:textId="77777777" w:rsidR="00CE58CB" w:rsidRPr="00CE58CB" w:rsidRDefault="00CE58CB" w:rsidP="00CE58CB">
      <w:pPr>
        <w:numPr>
          <w:ilvl w:val="0"/>
          <w:numId w:val="3"/>
        </w:numPr>
        <w:shd w:val="clear" w:color="auto" w:fill="FFFFFF"/>
        <w:spacing w:after="0" w:line="360" w:lineRule="atLeast"/>
        <w:rPr>
          <w:rFonts w:eastAsia="Times New Roman" w:cs="Arial"/>
          <w:color w:val="595959"/>
          <w:sz w:val="24"/>
          <w:szCs w:val="24"/>
          <w:lang w:eastAsia="en-GB"/>
        </w:rPr>
      </w:pPr>
      <w:r w:rsidRPr="00CE58CB">
        <w:rPr>
          <w:rFonts w:eastAsia="Times New Roman" w:cs="Arial"/>
          <w:color w:val="595959"/>
          <w:sz w:val="24"/>
          <w:szCs w:val="24"/>
          <w:lang w:eastAsia="en-GB"/>
        </w:rPr>
        <w:t>historic accounts</w:t>
      </w:r>
    </w:p>
    <w:p w14:paraId="0AA6572E" w14:textId="77777777" w:rsidR="00CE58CB" w:rsidRPr="00CE58CB" w:rsidRDefault="00CE58CB" w:rsidP="00CE58CB">
      <w:pPr>
        <w:numPr>
          <w:ilvl w:val="0"/>
          <w:numId w:val="3"/>
        </w:numPr>
        <w:shd w:val="clear" w:color="auto" w:fill="FFFFFF"/>
        <w:spacing w:after="0" w:line="360" w:lineRule="atLeast"/>
        <w:rPr>
          <w:rFonts w:eastAsia="Times New Roman" w:cs="Arial"/>
          <w:color w:val="595959"/>
          <w:sz w:val="24"/>
          <w:szCs w:val="24"/>
          <w:lang w:eastAsia="en-GB"/>
        </w:rPr>
      </w:pPr>
      <w:r w:rsidRPr="00CE58CB">
        <w:rPr>
          <w:rFonts w:eastAsia="Times New Roman" w:cs="Arial"/>
          <w:color w:val="595959"/>
          <w:sz w:val="24"/>
          <w:szCs w:val="24"/>
          <w:lang w:eastAsia="en-GB"/>
        </w:rPr>
        <w:t>details of assets.</w:t>
      </w:r>
    </w:p>
    <w:p w14:paraId="2A6B31FD" w14:textId="77777777" w:rsidR="00CE58CB" w:rsidRPr="00CE58CB" w:rsidRDefault="00CE58CB" w:rsidP="00CE58CB">
      <w:pPr>
        <w:shd w:val="clear" w:color="auto" w:fill="FFFFFF"/>
        <w:spacing w:before="180" w:after="360" w:line="360" w:lineRule="atLeast"/>
        <w:rPr>
          <w:rFonts w:eastAsia="Times New Roman" w:cs="Arial"/>
          <w:color w:val="595959"/>
          <w:sz w:val="24"/>
          <w:szCs w:val="24"/>
          <w:lang w:eastAsia="en-GB"/>
        </w:rPr>
      </w:pPr>
      <w:r w:rsidRPr="00CE58CB">
        <w:rPr>
          <w:rFonts w:eastAsia="Times New Roman" w:cs="Arial"/>
          <w:color w:val="595959"/>
          <w:sz w:val="24"/>
          <w:szCs w:val="24"/>
          <w:lang w:eastAsia="en-GB"/>
        </w:rPr>
        <w:t>For applications for smaller facilities, it is likely that the process may be automated and may not require the same level of documentation.</w:t>
      </w:r>
    </w:p>
    <w:p w14:paraId="43B207A2" w14:textId="77777777" w:rsidR="003F43A5" w:rsidRPr="00CE58CB" w:rsidRDefault="003F43A5"/>
    <w:sectPr w:rsidR="003F43A5" w:rsidRPr="00CE5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09FD"/>
    <w:multiLevelType w:val="multilevel"/>
    <w:tmpl w:val="A4EC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17317"/>
    <w:multiLevelType w:val="multilevel"/>
    <w:tmpl w:val="07D4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343FEF"/>
    <w:multiLevelType w:val="multilevel"/>
    <w:tmpl w:val="0A5C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8CB"/>
    <w:rsid w:val="003F43A5"/>
    <w:rsid w:val="00557AE4"/>
    <w:rsid w:val="00CE5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52A6"/>
  <w15:chartTrackingRefBased/>
  <w15:docId w15:val="{EB3324BD-E176-449F-ADA1-2E3FE5D7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827645">
      <w:bodyDiv w:val="1"/>
      <w:marLeft w:val="0"/>
      <w:marRight w:val="0"/>
      <w:marTop w:val="0"/>
      <w:marBottom w:val="0"/>
      <w:divBdr>
        <w:top w:val="none" w:sz="0" w:space="0" w:color="auto"/>
        <w:left w:val="none" w:sz="0" w:space="0" w:color="auto"/>
        <w:bottom w:val="none" w:sz="0" w:space="0" w:color="auto"/>
        <w:right w:val="none" w:sz="0" w:space="0" w:color="auto"/>
      </w:divBdr>
      <w:divsChild>
        <w:div w:id="300891888">
          <w:marLeft w:val="-225"/>
          <w:marRight w:val="-225"/>
          <w:marTop w:val="0"/>
          <w:marBottom w:val="0"/>
          <w:divBdr>
            <w:top w:val="none" w:sz="0" w:space="0" w:color="auto"/>
            <w:left w:val="none" w:sz="0" w:space="0" w:color="auto"/>
            <w:bottom w:val="none" w:sz="0" w:space="0" w:color="auto"/>
            <w:right w:val="none" w:sz="0" w:space="0" w:color="auto"/>
          </w:divBdr>
          <w:divsChild>
            <w:div w:id="526529366">
              <w:marLeft w:val="1500"/>
              <w:marRight w:val="0"/>
              <w:marTop w:val="0"/>
              <w:marBottom w:val="0"/>
              <w:divBdr>
                <w:top w:val="none" w:sz="0" w:space="0" w:color="auto"/>
                <w:left w:val="none" w:sz="0" w:space="0" w:color="auto"/>
                <w:bottom w:val="none" w:sz="0" w:space="0" w:color="auto"/>
                <w:right w:val="none" w:sz="0" w:space="0" w:color="auto"/>
              </w:divBdr>
              <w:divsChild>
                <w:div w:id="16259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6318">
          <w:marLeft w:val="-225"/>
          <w:marRight w:val="-225"/>
          <w:marTop w:val="0"/>
          <w:marBottom w:val="0"/>
          <w:divBdr>
            <w:top w:val="none" w:sz="0" w:space="0" w:color="auto"/>
            <w:left w:val="none" w:sz="0" w:space="0" w:color="auto"/>
            <w:bottom w:val="none" w:sz="0" w:space="0" w:color="auto"/>
            <w:right w:val="none" w:sz="0" w:space="0" w:color="auto"/>
          </w:divBdr>
          <w:divsChild>
            <w:div w:id="1252279745">
              <w:marLeft w:val="1500"/>
              <w:marRight w:val="0"/>
              <w:marTop w:val="0"/>
              <w:marBottom w:val="0"/>
              <w:divBdr>
                <w:top w:val="none" w:sz="0" w:space="0" w:color="auto"/>
                <w:left w:val="none" w:sz="0" w:space="0" w:color="auto"/>
                <w:bottom w:val="none" w:sz="0" w:space="0" w:color="auto"/>
                <w:right w:val="none" w:sz="0" w:space="0" w:color="auto"/>
              </w:divBdr>
              <w:divsChild>
                <w:div w:id="1746217071">
                  <w:marLeft w:val="0"/>
                  <w:marRight w:val="0"/>
                  <w:marTop w:val="0"/>
                  <w:marBottom w:val="0"/>
                  <w:divBdr>
                    <w:top w:val="none" w:sz="0" w:space="0" w:color="auto"/>
                    <w:left w:val="none" w:sz="0" w:space="0" w:color="auto"/>
                    <w:bottom w:val="none" w:sz="0" w:space="0" w:color="auto"/>
                    <w:right w:val="none" w:sz="0" w:space="0" w:color="auto"/>
                  </w:divBdr>
                  <w:divsChild>
                    <w:div w:id="14974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2020-04-17T21:53:00Z</dcterms:created>
  <dcterms:modified xsi:type="dcterms:W3CDTF">2020-04-17T22:05:00Z</dcterms:modified>
</cp:coreProperties>
</file>